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m:oMathPara>
        <m:oMath>
          <m:sSub>
            <m:e>
              <m:r>
                <m:rPr/>
                <m:t>x</m:t>
              </m:r>
            </m:e>
            <m:sub>
              <m:r>
                <m:rPr/>
                <m:t>i</m:t>
              </m:r>
            </m:sub>
          </m:sSub>
        </m:oMath>
      </m:oMathPara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